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E" w:rsidRDefault="00C0699F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TIG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</w:t>
      </w:r>
      <w:r w:rsidR="00887B6C">
        <w:rPr>
          <w:rFonts w:ascii="Arial" w:hAnsi="Arial" w:cs="Arial"/>
          <w:b/>
          <w:sz w:val="20"/>
          <w:szCs w:val="20"/>
        </w:rPr>
        <w:t xml:space="preserve"> the</w:t>
      </w:r>
      <w:r w:rsidR="00FD2D19">
        <w:rPr>
          <w:rFonts w:ascii="Arial" w:hAnsi="Arial" w:cs="Arial"/>
          <w:b/>
          <w:sz w:val="20"/>
          <w:szCs w:val="20"/>
        </w:rPr>
        <w:t xml:space="preserve"> difference</w:t>
      </w:r>
      <w:r w:rsidR="00831901">
        <w:rPr>
          <w:rFonts w:ascii="Arial" w:hAnsi="Arial" w:cs="Arial"/>
          <w:b/>
          <w:sz w:val="20"/>
          <w:szCs w:val="20"/>
        </w:rPr>
        <w:t xml:space="preserve"> of over 10%</w:t>
      </w:r>
      <w:r w:rsidR="00FD2D19">
        <w:rPr>
          <w:rFonts w:ascii="Arial" w:hAnsi="Arial" w:cs="Arial"/>
          <w:b/>
          <w:sz w:val="20"/>
          <w:szCs w:val="20"/>
        </w:rPr>
        <w:t xml:space="preserve"> in</w:t>
      </w:r>
      <w:r w:rsidR="00C761E0">
        <w:rPr>
          <w:rFonts w:ascii="Arial" w:hAnsi="Arial" w:cs="Arial"/>
          <w:b/>
          <w:sz w:val="20"/>
          <w:szCs w:val="20"/>
        </w:rPr>
        <w:t xml:space="preserve"> the </w:t>
      </w:r>
      <w:r w:rsidR="003812F4">
        <w:rPr>
          <w:rFonts w:ascii="Arial" w:hAnsi="Arial" w:cs="Arial"/>
          <w:b/>
          <w:sz w:val="20"/>
          <w:szCs w:val="20"/>
        </w:rPr>
        <w:t>profit before tax</w:t>
      </w:r>
      <w:r w:rsidR="00C761E0">
        <w:rPr>
          <w:rFonts w:ascii="Arial" w:hAnsi="Arial" w:cs="Arial"/>
          <w:b/>
          <w:sz w:val="20"/>
          <w:szCs w:val="20"/>
        </w:rPr>
        <w:t xml:space="preserve"> in</w:t>
      </w:r>
      <w:r w:rsidR="00887B6C">
        <w:rPr>
          <w:rFonts w:ascii="Arial" w:hAnsi="Arial" w:cs="Arial"/>
          <w:b/>
          <w:sz w:val="20"/>
          <w:szCs w:val="20"/>
        </w:rPr>
        <w:t xml:space="preserve"> </w:t>
      </w:r>
      <w:r w:rsidR="00D778AE">
        <w:rPr>
          <w:rFonts w:ascii="Arial" w:hAnsi="Arial" w:cs="Arial"/>
          <w:b/>
          <w:sz w:val="20"/>
          <w:szCs w:val="20"/>
        </w:rPr>
        <w:t xml:space="preserve">the </w:t>
      </w:r>
      <w:r w:rsidR="00F02E19">
        <w:rPr>
          <w:rFonts w:ascii="Arial" w:hAnsi="Arial" w:cs="Arial"/>
          <w:b/>
          <w:sz w:val="20"/>
          <w:szCs w:val="20"/>
        </w:rPr>
        <w:t xml:space="preserve">financial statement </w:t>
      </w:r>
      <w:r w:rsidR="00761E26">
        <w:rPr>
          <w:rFonts w:ascii="Arial" w:hAnsi="Arial" w:cs="Arial"/>
          <w:b/>
          <w:sz w:val="20"/>
          <w:szCs w:val="20"/>
        </w:rPr>
        <w:t xml:space="preserve">of </w:t>
      </w:r>
      <w:r w:rsidR="00477684">
        <w:rPr>
          <w:rFonts w:ascii="Arial" w:hAnsi="Arial" w:cs="Arial"/>
          <w:b/>
          <w:sz w:val="20"/>
          <w:szCs w:val="20"/>
        </w:rPr>
        <w:t>Q.1/ 2019</w:t>
      </w:r>
      <w:r w:rsidR="006623D8">
        <w:rPr>
          <w:rFonts w:ascii="Arial" w:hAnsi="Arial" w:cs="Arial"/>
          <w:b/>
          <w:sz w:val="20"/>
          <w:szCs w:val="20"/>
        </w:rPr>
        <w:t xml:space="preserve"> </w:t>
      </w:r>
      <w:r w:rsidR="00FD2D19">
        <w:rPr>
          <w:rFonts w:ascii="Arial" w:hAnsi="Arial" w:cs="Arial"/>
          <w:b/>
          <w:sz w:val="20"/>
          <w:szCs w:val="20"/>
        </w:rPr>
        <w:t>year on year</w:t>
      </w:r>
    </w:p>
    <w:p w:rsidR="0050001C" w:rsidRDefault="00E36A48" w:rsidP="00AC0D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36B0D">
        <w:rPr>
          <w:rFonts w:ascii="Arial" w:hAnsi="Arial" w:cs="Arial"/>
          <w:sz w:val="20"/>
          <w:szCs w:val="20"/>
        </w:rPr>
        <w:t>20</w:t>
      </w:r>
      <w:r w:rsidR="00073028">
        <w:rPr>
          <w:rFonts w:ascii="Arial" w:hAnsi="Arial" w:cs="Arial"/>
          <w:sz w:val="20"/>
          <w:szCs w:val="20"/>
        </w:rPr>
        <w:t xml:space="preserve"> Apr</w:t>
      </w:r>
      <w:r w:rsidR="00A62855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477684" w:rsidRPr="00477684">
        <w:rPr>
          <w:rFonts w:ascii="Arial" w:hAnsi="Arial" w:cs="Arial"/>
          <w:sz w:val="20"/>
          <w:szCs w:val="20"/>
        </w:rPr>
        <w:t>Thang Long Investment Group Joint Stock Company</w:t>
      </w:r>
      <w:r w:rsidR="00477684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D778AE" w:rsidRPr="00D778AE">
        <w:rPr>
          <w:rFonts w:ascii="Arial" w:hAnsi="Arial" w:cs="Arial"/>
          <w:sz w:val="20"/>
          <w:szCs w:val="20"/>
        </w:rPr>
        <w:t>difference</w:t>
      </w:r>
      <w:r w:rsidR="00831901">
        <w:rPr>
          <w:rFonts w:ascii="Arial" w:hAnsi="Arial" w:cs="Arial"/>
          <w:sz w:val="20"/>
          <w:szCs w:val="20"/>
        </w:rPr>
        <w:t xml:space="preserve"> of over 10%</w:t>
      </w:r>
      <w:r w:rsidR="00D778AE" w:rsidRPr="00D778AE">
        <w:rPr>
          <w:rFonts w:ascii="Arial" w:hAnsi="Arial" w:cs="Arial"/>
          <w:sz w:val="20"/>
          <w:szCs w:val="20"/>
        </w:rPr>
        <w:t xml:space="preserve"> in</w:t>
      </w:r>
      <w:r w:rsidR="00C761E0">
        <w:rPr>
          <w:rFonts w:ascii="Arial" w:hAnsi="Arial" w:cs="Arial"/>
          <w:sz w:val="20"/>
          <w:szCs w:val="20"/>
        </w:rPr>
        <w:t xml:space="preserve"> the </w:t>
      </w:r>
      <w:r w:rsidR="003812F4">
        <w:rPr>
          <w:rFonts w:ascii="Arial" w:hAnsi="Arial" w:cs="Arial"/>
          <w:sz w:val="20"/>
          <w:szCs w:val="20"/>
        </w:rPr>
        <w:t>profit before tax</w:t>
      </w:r>
      <w:r w:rsidR="00C761E0">
        <w:rPr>
          <w:rFonts w:ascii="Arial" w:hAnsi="Arial" w:cs="Arial"/>
          <w:sz w:val="20"/>
          <w:szCs w:val="20"/>
        </w:rPr>
        <w:t xml:space="preserve"> in</w:t>
      </w:r>
      <w:r w:rsidR="00D778AE" w:rsidRPr="00D778AE">
        <w:rPr>
          <w:rFonts w:ascii="Arial" w:hAnsi="Arial" w:cs="Arial"/>
          <w:sz w:val="20"/>
          <w:szCs w:val="20"/>
        </w:rPr>
        <w:t xml:space="preserve"> the </w:t>
      </w:r>
      <w:r w:rsidR="00477684">
        <w:rPr>
          <w:rFonts w:ascii="Arial" w:hAnsi="Arial" w:cs="Arial"/>
          <w:sz w:val="20"/>
          <w:szCs w:val="20"/>
        </w:rPr>
        <w:t>financial statement of Q.1/ 2019</w:t>
      </w:r>
      <w:r w:rsidR="00D778AE" w:rsidRPr="00D778AE">
        <w:rPr>
          <w:rFonts w:ascii="Arial" w:hAnsi="Arial" w:cs="Arial"/>
          <w:sz w:val="20"/>
          <w:szCs w:val="20"/>
        </w:rPr>
        <w:t xml:space="preserve"> year on year</w:t>
      </w:r>
      <w:r w:rsidR="00887B6C" w:rsidRPr="00887B6C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as follows:</w:t>
      </w:r>
      <w:r w:rsidR="00EA098E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1218"/>
        <w:gridCol w:w="1505"/>
        <w:gridCol w:w="1505"/>
        <w:gridCol w:w="999"/>
        <w:gridCol w:w="1505"/>
        <w:gridCol w:w="1410"/>
        <w:gridCol w:w="999"/>
      </w:tblGrid>
      <w:tr w:rsidR="00477684" w:rsidTr="00A8686D">
        <w:tc>
          <w:tcPr>
            <w:tcW w:w="472" w:type="dxa"/>
            <w:vMerge w:val="restart"/>
          </w:tcPr>
          <w:p w:rsidR="00477684" w:rsidRDefault="00477684" w:rsidP="00AC0D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25" w:type="dxa"/>
            <w:vMerge w:val="restart"/>
          </w:tcPr>
          <w:p w:rsidR="00477684" w:rsidRDefault="00477684" w:rsidP="00AC0D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Financial statement </w:t>
            </w:r>
          </w:p>
        </w:tc>
        <w:tc>
          <w:tcPr>
            <w:tcW w:w="3590" w:type="dxa"/>
            <w:gridSpan w:val="3"/>
          </w:tcPr>
          <w:p w:rsidR="00477684" w:rsidRDefault="00477684" w:rsidP="004776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3589" w:type="dxa"/>
            <w:gridSpan w:val="3"/>
          </w:tcPr>
          <w:p w:rsidR="00477684" w:rsidRDefault="00477684" w:rsidP="004776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After-tax profit</w:t>
            </w:r>
          </w:p>
        </w:tc>
      </w:tr>
      <w:tr w:rsidR="00477684" w:rsidTr="00477684">
        <w:tc>
          <w:tcPr>
            <w:tcW w:w="472" w:type="dxa"/>
            <w:vMerge/>
          </w:tcPr>
          <w:p w:rsidR="00477684" w:rsidRDefault="00477684" w:rsidP="004776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477684" w:rsidRDefault="00477684" w:rsidP="004776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:rsidR="00477684" w:rsidRDefault="00477684" w:rsidP="004776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2019</w:t>
            </w:r>
          </w:p>
        </w:tc>
        <w:tc>
          <w:tcPr>
            <w:tcW w:w="1196" w:type="dxa"/>
          </w:tcPr>
          <w:p w:rsidR="00477684" w:rsidRDefault="00477684" w:rsidP="004776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2018</w:t>
            </w:r>
          </w:p>
        </w:tc>
        <w:tc>
          <w:tcPr>
            <w:tcW w:w="1197" w:type="dxa"/>
          </w:tcPr>
          <w:p w:rsidR="00477684" w:rsidRDefault="00477684" w:rsidP="004776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Difference rate</w:t>
            </w:r>
          </w:p>
        </w:tc>
        <w:tc>
          <w:tcPr>
            <w:tcW w:w="1197" w:type="dxa"/>
          </w:tcPr>
          <w:p w:rsidR="00477684" w:rsidRDefault="00477684" w:rsidP="004776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2019</w:t>
            </w:r>
          </w:p>
        </w:tc>
        <w:tc>
          <w:tcPr>
            <w:tcW w:w="1196" w:type="dxa"/>
          </w:tcPr>
          <w:p w:rsidR="00477684" w:rsidRDefault="00477684" w:rsidP="004776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2018</w:t>
            </w:r>
          </w:p>
        </w:tc>
        <w:tc>
          <w:tcPr>
            <w:tcW w:w="1196" w:type="dxa"/>
          </w:tcPr>
          <w:p w:rsidR="00477684" w:rsidRDefault="00477684" w:rsidP="004776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Difference rate</w:t>
            </w:r>
          </w:p>
        </w:tc>
      </w:tr>
      <w:tr w:rsidR="00477684" w:rsidTr="00477684">
        <w:tc>
          <w:tcPr>
            <w:tcW w:w="472" w:type="dxa"/>
          </w:tcPr>
          <w:p w:rsidR="00477684" w:rsidRDefault="00477684" w:rsidP="00AC0D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5" w:type="dxa"/>
          </w:tcPr>
          <w:p w:rsidR="00477684" w:rsidRDefault="00477684" w:rsidP="00AC0D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Separate financial statement </w:t>
            </w:r>
          </w:p>
        </w:tc>
        <w:tc>
          <w:tcPr>
            <w:tcW w:w="1197" w:type="dxa"/>
          </w:tcPr>
          <w:p w:rsidR="00477684" w:rsidRDefault="00477684" w:rsidP="00AC0D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7684">
              <w:rPr>
                <w:rFonts w:ascii="Arial" w:hAnsi="Arial" w:cs="Arial"/>
                <w:sz w:val="20"/>
                <w:szCs w:val="20"/>
              </w:rPr>
              <w:t>369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7684">
              <w:rPr>
                <w:rFonts w:ascii="Arial" w:hAnsi="Arial" w:cs="Arial"/>
                <w:sz w:val="20"/>
                <w:szCs w:val="20"/>
              </w:rPr>
              <w:t>575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7684">
              <w:rPr>
                <w:rFonts w:ascii="Arial" w:hAnsi="Arial" w:cs="Arial"/>
                <w:sz w:val="20"/>
                <w:szCs w:val="20"/>
              </w:rPr>
              <w:t>069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7684"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1196" w:type="dxa"/>
          </w:tcPr>
          <w:p w:rsidR="00477684" w:rsidRDefault="00477684" w:rsidP="00AC0D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7684">
              <w:rPr>
                <w:rFonts w:ascii="Arial" w:hAnsi="Arial" w:cs="Arial"/>
                <w:sz w:val="20"/>
                <w:szCs w:val="20"/>
              </w:rPr>
              <w:t>262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7684">
              <w:rPr>
                <w:rFonts w:ascii="Arial" w:hAnsi="Arial" w:cs="Arial"/>
                <w:sz w:val="20"/>
                <w:szCs w:val="20"/>
              </w:rPr>
              <w:t>473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7684">
              <w:rPr>
                <w:rFonts w:ascii="Arial" w:hAnsi="Arial" w:cs="Arial"/>
                <w:sz w:val="20"/>
                <w:szCs w:val="20"/>
              </w:rPr>
              <w:t>050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768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97" w:type="dxa"/>
          </w:tcPr>
          <w:p w:rsidR="00477684" w:rsidRDefault="00477684" w:rsidP="00AC0D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7684">
              <w:rPr>
                <w:rFonts w:ascii="Arial" w:hAnsi="Arial" w:cs="Arial"/>
                <w:sz w:val="20"/>
                <w:szCs w:val="20"/>
              </w:rPr>
              <w:t>141%</w:t>
            </w:r>
          </w:p>
        </w:tc>
        <w:tc>
          <w:tcPr>
            <w:tcW w:w="1197" w:type="dxa"/>
          </w:tcPr>
          <w:p w:rsidR="00477684" w:rsidRDefault="00477684" w:rsidP="00AC0D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77684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7684">
              <w:rPr>
                <w:rFonts w:ascii="Arial" w:hAnsi="Arial" w:cs="Arial"/>
                <w:sz w:val="20"/>
                <w:szCs w:val="20"/>
              </w:rPr>
              <w:t>751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7684">
              <w:rPr>
                <w:rFonts w:ascii="Arial" w:hAnsi="Arial" w:cs="Arial"/>
                <w:sz w:val="20"/>
                <w:szCs w:val="20"/>
              </w:rPr>
              <w:t>479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7684">
              <w:rPr>
                <w:rFonts w:ascii="Arial" w:hAnsi="Arial" w:cs="Arial"/>
                <w:sz w:val="20"/>
                <w:szCs w:val="20"/>
              </w:rPr>
              <w:t>827</w:t>
            </w:r>
          </w:p>
        </w:tc>
        <w:tc>
          <w:tcPr>
            <w:tcW w:w="1196" w:type="dxa"/>
          </w:tcPr>
          <w:p w:rsidR="00477684" w:rsidRDefault="00477684" w:rsidP="00AC0D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7684">
              <w:rPr>
                <w:rFonts w:ascii="Arial" w:hAnsi="Arial" w:cs="Arial"/>
                <w:sz w:val="20"/>
                <w:szCs w:val="20"/>
              </w:rPr>
              <w:t>53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7684">
              <w:rPr>
                <w:rFonts w:ascii="Arial" w:hAnsi="Arial" w:cs="Arial"/>
                <w:sz w:val="20"/>
                <w:szCs w:val="20"/>
              </w:rPr>
              <w:t>442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7684">
              <w:rPr>
                <w:rFonts w:ascii="Arial" w:hAnsi="Arial" w:cs="Arial"/>
                <w:sz w:val="20"/>
                <w:szCs w:val="20"/>
              </w:rPr>
              <w:t>491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7684"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1196" w:type="dxa"/>
          </w:tcPr>
          <w:p w:rsidR="00477684" w:rsidRDefault="00477684" w:rsidP="00AC0D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7684">
              <w:rPr>
                <w:rFonts w:ascii="Arial" w:hAnsi="Arial" w:cs="Arial"/>
                <w:sz w:val="20"/>
                <w:szCs w:val="20"/>
              </w:rPr>
              <w:t>218%</w:t>
            </w:r>
          </w:p>
        </w:tc>
      </w:tr>
      <w:tr w:rsidR="00477684" w:rsidTr="00477684">
        <w:tc>
          <w:tcPr>
            <w:tcW w:w="472" w:type="dxa"/>
          </w:tcPr>
          <w:p w:rsidR="00477684" w:rsidRDefault="00477684" w:rsidP="00AC0D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5" w:type="dxa"/>
          </w:tcPr>
          <w:p w:rsidR="00477684" w:rsidRDefault="00477684" w:rsidP="00AC0D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Consolidated financial statement </w:t>
            </w:r>
          </w:p>
        </w:tc>
        <w:tc>
          <w:tcPr>
            <w:tcW w:w="1197" w:type="dxa"/>
          </w:tcPr>
          <w:p w:rsidR="00477684" w:rsidRDefault="00477684" w:rsidP="00AC0D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7684">
              <w:rPr>
                <w:rFonts w:ascii="Arial" w:hAnsi="Arial" w:cs="Arial"/>
                <w:sz w:val="20"/>
                <w:szCs w:val="20"/>
              </w:rPr>
              <w:t>404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7684">
              <w:rPr>
                <w:rFonts w:ascii="Arial" w:hAnsi="Arial" w:cs="Arial"/>
                <w:sz w:val="20"/>
                <w:szCs w:val="20"/>
              </w:rPr>
              <w:t>623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7684">
              <w:rPr>
                <w:rFonts w:ascii="Arial" w:hAnsi="Arial" w:cs="Arial"/>
                <w:sz w:val="20"/>
                <w:szCs w:val="20"/>
              </w:rPr>
              <w:t>766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7684"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1196" w:type="dxa"/>
          </w:tcPr>
          <w:p w:rsidR="00477684" w:rsidRDefault="00477684" w:rsidP="00AC0D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7684">
              <w:rPr>
                <w:rFonts w:ascii="Arial" w:hAnsi="Arial" w:cs="Arial"/>
                <w:sz w:val="20"/>
                <w:szCs w:val="20"/>
              </w:rPr>
              <w:t>294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7684">
              <w:rPr>
                <w:rFonts w:ascii="Arial" w:hAnsi="Arial" w:cs="Arial"/>
                <w:sz w:val="20"/>
                <w:szCs w:val="20"/>
              </w:rPr>
              <w:t>989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7684">
              <w:rPr>
                <w:rFonts w:ascii="Arial" w:hAnsi="Arial" w:cs="Arial"/>
                <w:sz w:val="20"/>
                <w:szCs w:val="20"/>
              </w:rPr>
              <w:t>622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7684">
              <w:rPr>
                <w:rFonts w:ascii="Arial" w:hAnsi="Arial" w:cs="Arial"/>
                <w:sz w:val="20"/>
                <w:szCs w:val="20"/>
              </w:rPr>
              <w:t>796</w:t>
            </w:r>
          </w:p>
        </w:tc>
        <w:tc>
          <w:tcPr>
            <w:tcW w:w="1197" w:type="dxa"/>
          </w:tcPr>
          <w:p w:rsidR="00477684" w:rsidRDefault="00477684" w:rsidP="00AC0D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7684">
              <w:rPr>
                <w:rFonts w:ascii="Arial" w:hAnsi="Arial" w:cs="Arial"/>
                <w:sz w:val="20"/>
                <w:szCs w:val="20"/>
              </w:rPr>
              <w:t>137%</w:t>
            </w:r>
          </w:p>
        </w:tc>
        <w:tc>
          <w:tcPr>
            <w:tcW w:w="1197" w:type="dxa"/>
          </w:tcPr>
          <w:p w:rsidR="00477684" w:rsidRDefault="00477684" w:rsidP="00AC0D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77684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7684">
              <w:rPr>
                <w:rFonts w:ascii="Arial" w:hAnsi="Arial" w:cs="Arial"/>
                <w:sz w:val="20"/>
                <w:szCs w:val="20"/>
              </w:rPr>
              <w:t>336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7684">
              <w:rPr>
                <w:rFonts w:ascii="Arial" w:hAnsi="Arial" w:cs="Arial"/>
                <w:sz w:val="20"/>
                <w:szCs w:val="20"/>
              </w:rPr>
              <w:t>882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7684">
              <w:rPr>
                <w:rFonts w:ascii="Arial" w:hAnsi="Arial" w:cs="Arial"/>
                <w:sz w:val="20"/>
                <w:szCs w:val="20"/>
              </w:rPr>
              <w:t>868</w:t>
            </w:r>
          </w:p>
        </w:tc>
        <w:tc>
          <w:tcPr>
            <w:tcW w:w="1196" w:type="dxa"/>
          </w:tcPr>
          <w:p w:rsidR="00477684" w:rsidRDefault="00477684" w:rsidP="00AC0D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7684">
              <w:rPr>
                <w:rFonts w:ascii="Arial" w:hAnsi="Arial" w:cs="Arial"/>
                <w:sz w:val="20"/>
                <w:szCs w:val="20"/>
              </w:rPr>
              <w:t>59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7684">
              <w:rPr>
                <w:rFonts w:ascii="Arial" w:hAnsi="Arial" w:cs="Arial"/>
                <w:sz w:val="20"/>
                <w:szCs w:val="20"/>
              </w:rPr>
              <w:t>593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7684">
              <w:rPr>
                <w:rFonts w:ascii="Arial" w:hAnsi="Arial" w:cs="Arial"/>
                <w:sz w:val="20"/>
                <w:szCs w:val="20"/>
              </w:rPr>
              <w:t>720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7684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196" w:type="dxa"/>
          </w:tcPr>
          <w:p w:rsidR="00477684" w:rsidRDefault="00477684" w:rsidP="00AC0D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7684">
              <w:rPr>
                <w:rFonts w:ascii="Arial" w:hAnsi="Arial" w:cs="Arial"/>
                <w:sz w:val="20"/>
                <w:szCs w:val="20"/>
              </w:rPr>
              <w:t>195%</w:t>
            </w:r>
          </w:p>
        </w:tc>
      </w:tr>
    </w:tbl>
    <w:p w:rsidR="00477684" w:rsidRDefault="00477684" w:rsidP="00AC0DE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7684" w:rsidRDefault="00477684" w:rsidP="00AC0D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7684">
        <w:rPr>
          <w:rFonts w:ascii="Arial" w:hAnsi="Arial" w:cs="Arial"/>
          <w:sz w:val="20"/>
          <w:szCs w:val="20"/>
        </w:rPr>
        <w:t xml:space="preserve">Reasons for </w:t>
      </w:r>
      <w:r>
        <w:rPr>
          <w:rFonts w:ascii="Arial" w:hAnsi="Arial" w:cs="Arial"/>
          <w:sz w:val="20"/>
          <w:szCs w:val="20"/>
        </w:rPr>
        <w:t xml:space="preserve">the difference in </w:t>
      </w:r>
      <w:r w:rsidRPr="00477684">
        <w:rPr>
          <w:rFonts w:ascii="Arial" w:hAnsi="Arial" w:cs="Arial"/>
          <w:sz w:val="20"/>
          <w:szCs w:val="20"/>
        </w:rPr>
        <w:t>profit after tax in 2019 compare</w:t>
      </w:r>
      <w:r>
        <w:rPr>
          <w:rFonts w:ascii="Arial" w:hAnsi="Arial" w:cs="Arial"/>
          <w:sz w:val="20"/>
          <w:szCs w:val="20"/>
        </w:rPr>
        <w:t>d to the same period last year</w:t>
      </w:r>
      <w:r w:rsidRPr="00477684">
        <w:rPr>
          <w:rFonts w:ascii="Arial" w:hAnsi="Arial" w:cs="Arial"/>
          <w:sz w:val="20"/>
          <w:szCs w:val="20"/>
        </w:rPr>
        <w:t xml:space="preserve">: </w:t>
      </w:r>
    </w:p>
    <w:p w:rsidR="00477684" w:rsidRDefault="00477684" w:rsidP="00AC0D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7684">
        <w:rPr>
          <w:rFonts w:ascii="Arial" w:hAnsi="Arial" w:cs="Arial"/>
          <w:sz w:val="20"/>
          <w:szCs w:val="20"/>
        </w:rPr>
        <w:t>- Sales of goods, commercial business of the Company in</w:t>
      </w:r>
      <w:r>
        <w:rPr>
          <w:rFonts w:ascii="Arial" w:hAnsi="Arial" w:cs="Arial"/>
          <w:sz w:val="20"/>
          <w:szCs w:val="20"/>
        </w:rPr>
        <w:t>creased over the previous year; Revenue from the C</w:t>
      </w:r>
      <w:r w:rsidRPr="00477684">
        <w:rPr>
          <w:rFonts w:ascii="Arial" w:hAnsi="Arial" w:cs="Arial"/>
          <w:sz w:val="20"/>
          <w:szCs w:val="20"/>
        </w:rPr>
        <w:t xml:space="preserve">ompany's </w:t>
      </w:r>
      <w:r>
        <w:rPr>
          <w:rFonts w:ascii="Arial" w:hAnsi="Arial" w:cs="Arial"/>
          <w:sz w:val="20"/>
          <w:szCs w:val="20"/>
        </w:rPr>
        <w:t>real estate business increased</w:t>
      </w:r>
    </w:p>
    <w:p w:rsidR="00477684" w:rsidRDefault="00477684" w:rsidP="00AC0D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7684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Revenue from financial business</w:t>
      </w:r>
      <w:r w:rsidRPr="00477684">
        <w:rPr>
          <w:rFonts w:ascii="Arial" w:hAnsi="Arial" w:cs="Arial"/>
          <w:sz w:val="20"/>
          <w:szCs w:val="20"/>
        </w:rPr>
        <w:t>/ equity transfer o</w:t>
      </w:r>
      <w:r>
        <w:rPr>
          <w:rFonts w:ascii="Arial" w:hAnsi="Arial" w:cs="Arial"/>
          <w:sz w:val="20"/>
          <w:szCs w:val="20"/>
        </w:rPr>
        <w:t>f real estate projects increased</w:t>
      </w:r>
    </w:p>
    <w:p w:rsidR="000E08BB" w:rsidRDefault="00477684" w:rsidP="00AC0D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776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cost,</w:t>
      </w:r>
      <w:r w:rsidRPr="00477684">
        <w:rPr>
          <w:rFonts w:ascii="Arial" w:hAnsi="Arial" w:cs="Arial"/>
          <w:sz w:val="20"/>
          <w:szCs w:val="20"/>
        </w:rPr>
        <w:t xml:space="preserve"> management </w:t>
      </w:r>
      <w:r>
        <w:rPr>
          <w:rFonts w:ascii="Arial" w:hAnsi="Arial" w:cs="Arial"/>
          <w:sz w:val="20"/>
          <w:szCs w:val="20"/>
        </w:rPr>
        <w:t>expense</w:t>
      </w:r>
      <w:r w:rsidRPr="00477684">
        <w:rPr>
          <w:rFonts w:ascii="Arial" w:hAnsi="Arial" w:cs="Arial"/>
          <w:sz w:val="20"/>
          <w:szCs w:val="20"/>
        </w:rPr>
        <w:t xml:space="preserve"> </w:t>
      </w:r>
      <w:r w:rsidR="000E08BB">
        <w:rPr>
          <w:rFonts w:ascii="Arial" w:hAnsi="Arial" w:cs="Arial"/>
          <w:sz w:val="20"/>
          <w:szCs w:val="20"/>
        </w:rPr>
        <w:t>reduced proportionally</w:t>
      </w:r>
    </w:p>
    <w:p w:rsidR="000E08BB" w:rsidRDefault="000E08BB" w:rsidP="00AC0D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 above causes made</w:t>
      </w:r>
      <w:r w:rsidR="00477684" w:rsidRPr="00477684">
        <w:rPr>
          <w:rFonts w:ascii="Arial" w:hAnsi="Arial" w:cs="Arial"/>
          <w:sz w:val="20"/>
          <w:szCs w:val="20"/>
        </w:rPr>
        <w:t xml:space="preserve"> the Company's profit after tax </w:t>
      </w:r>
      <w:r>
        <w:rPr>
          <w:rFonts w:ascii="Arial" w:hAnsi="Arial" w:cs="Arial"/>
          <w:sz w:val="20"/>
          <w:szCs w:val="20"/>
        </w:rPr>
        <w:t>increase sharply</w:t>
      </w:r>
    </w:p>
    <w:p w:rsidR="00E03D70" w:rsidRDefault="000E08BB" w:rsidP="00AC0D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above is an explanation for</w:t>
      </w:r>
      <w:r w:rsidR="00477684" w:rsidRPr="004776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increase of more than 10% in revenue and profit after tax in</w:t>
      </w:r>
      <w:r w:rsidR="00477684" w:rsidRPr="00477684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he audited separate financial statement</w:t>
      </w:r>
      <w:r w:rsidR="00477684" w:rsidRPr="00477684">
        <w:rPr>
          <w:rFonts w:ascii="Arial" w:hAnsi="Arial" w:cs="Arial"/>
          <w:sz w:val="20"/>
          <w:szCs w:val="20"/>
        </w:rPr>
        <w:t xml:space="preserve"> and audited c</w:t>
      </w:r>
      <w:r>
        <w:rPr>
          <w:rFonts w:ascii="Arial" w:hAnsi="Arial" w:cs="Arial"/>
          <w:sz w:val="20"/>
          <w:szCs w:val="20"/>
        </w:rPr>
        <w:t>onsolidated financial statement</w:t>
      </w:r>
      <w:r w:rsidR="00477684" w:rsidRPr="00477684">
        <w:rPr>
          <w:rFonts w:ascii="Arial" w:hAnsi="Arial" w:cs="Arial"/>
          <w:sz w:val="20"/>
          <w:szCs w:val="20"/>
        </w:rPr>
        <w:t xml:space="preserve"> in 2019 compared to t</w:t>
      </w:r>
      <w:r>
        <w:rPr>
          <w:rFonts w:ascii="Arial" w:hAnsi="Arial" w:cs="Arial"/>
          <w:sz w:val="20"/>
          <w:szCs w:val="20"/>
        </w:rPr>
        <w:t xml:space="preserve">he </w:t>
      </w:r>
      <w:r w:rsidRPr="00477684">
        <w:rPr>
          <w:rFonts w:ascii="Arial" w:hAnsi="Arial" w:cs="Arial"/>
          <w:sz w:val="20"/>
          <w:szCs w:val="20"/>
        </w:rPr>
        <w:t>audited</w:t>
      </w:r>
      <w:r>
        <w:rPr>
          <w:rFonts w:ascii="Arial" w:hAnsi="Arial" w:cs="Arial"/>
          <w:sz w:val="20"/>
          <w:szCs w:val="20"/>
        </w:rPr>
        <w:t xml:space="preserve"> separate financial statement</w:t>
      </w:r>
      <w:r w:rsidR="00477684" w:rsidRPr="00477684">
        <w:rPr>
          <w:rFonts w:ascii="Arial" w:hAnsi="Arial" w:cs="Arial"/>
          <w:sz w:val="20"/>
          <w:szCs w:val="20"/>
        </w:rPr>
        <w:t xml:space="preserve"> and audited c</w:t>
      </w:r>
      <w:r>
        <w:rPr>
          <w:rFonts w:ascii="Arial" w:hAnsi="Arial" w:cs="Arial"/>
          <w:sz w:val="20"/>
          <w:szCs w:val="20"/>
        </w:rPr>
        <w:t>onsolidated financial statement</w:t>
      </w:r>
      <w:r w:rsidR="00477684" w:rsidRPr="00477684">
        <w:rPr>
          <w:rFonts w:ascii="Arial" w:hAnsi="Arial" w:cs="Arial"/>
          <w:sz w:val="20"/>
          <w:szCs w:val="20"/>
        </w:rPr>
        <w:t xml:space="preserve"> of 2018 of </w:t>
      </w:r>
      <w:r w:rsidRPr="000E08BB">
        <w:rPr>
          <w:rFonts w:ascii="Arial" w:hAnsi="Arial" w:cs="Arial"/>
          <w:sz w:val="20"/>
          <w:szCs w:val="20"/>
        </w:rPr>
        <w:t>Thang Long Investment Group Joint Stock Company</w:t>
      </w:r>
      <w:r w:rsidR="00E03D7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E0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327A"/>
    <w:rsid w:val="00026B30"/>
    <w:rsid w:val="00041B1A"/>
    <w:rsid w:val="00073028"/>
    <w:rsid w:val="00090ACE"/>
    <w:rsid w:val="000A79D8"/>
    <w:rsid w:val="000B0FD0"/>
    <w:rsid w:val="000B33BC"/>
    <w:rsid w:val="000E08BB"/>
    <w:rsid w:val="000E15ED"/>
    <w:rsid w:val="000E5BBD"/>
    <w:rsid w:val="0010357F"/>
    <w:rsid w:val="0012502D"/>
    <w:rsid w:val="00125C9D"/>
    <w:rsid w:val="001654BA"/>
    <w:rsid w:val="001A017D"/>
    <w:rsid w:val="001B2DAC"/>
    <w:rsid w:val="00204DDC"/>
    <w:rsid w:val="00217C3D"/>
    <w:rsid w:val="0024099C"/>
    <w:rsid w:val="00244C92"/>
    <w:rsid w:val="00256DF0"/>
    <w:rsid w:val="0025770D"/>
    <w:rsid w:val="0026711C"/>
    <w:rsid w:val="00293FEB"/>
    <w:rsid w:val="00297425"/>
    <w:rsid w:val="002B59F4"/>
    <w:rsid w:val="002C2E93"/>
    <w:rsid w:val="002E1D14"/>
    <w:rsid w:val="00303E63"/>
    <w:rsid w:val="00315D9D"/>
    <w:rsid w:val="00330005"/>
    <w:rsid w:val="00336B0D"/>
    <w:rsid w:val="00346788"/>
    <w:rsid w:val="003812F4"/>
    <w:rsid w:val="00385717"/>
    <w:rsid w:val="003A771E"/>
    <w:rsid w:val="003B2570"/>
    <w:rsid w:val="00467BC0"/>
    <w:rsid w:val="00477684"/>
    <w:rsid w:val="004954D8"/>
    <w:rsid w:val="00496733"/>
    <w:rsid w:val="004A7E66"/>
    <w:rsid w:val="004B0E3B"/>
    <w:rsid w:val="004B5C61"/>
    <w:rsid w:val="004C7900"/>
    <w:rsid w:val="004E68F1"/>
    <w:rsid w:val="0050001C"/>
    <w:rsid w:val="0058021C"/>
    <w:rsid w:val="00594B24"/>
    <w:rsid w:val="005A0A44"/>
    <w:rsid w:val="005B0276"/>
    <w:rsid w:val="005E7D00"/>
    <w:rsid w:val="006033FC"/>
    <w:rsid w:val="0060744D"/>
    <w:rsid w:val="006623D8"/>
    <w:rsid w:val="00675C63"/>
    <w:rsid w:val="00680BC9"/>
    <w:rsid w:val="00695103"/>
    <w:rsid w:val="006E13A2"/>
    <w:rsid w:val="006E3B6D"/>
    <w:rsid w:val="00701C87"/>
    <w:rsid w:val="00701F46"/>
    <w:rsid w:val="007028B7"/>
    <w:rsid w:val="0072584C"/>
    <w:rsid w:val="00740A0C"/>
    <w:rsid w:val="00745D9A"/>
    <w:rsid w:val="00761E26"/>
    <w:rsid w:val="00795EA8"/>
    <w:rsid w:val="007D449B"/>
    <w:rsid w:val="007F7DB7"/>
    <w:rsid w:val="008078B6"/>
    <w:rsid w:val="00831901"/>
    <w:rsid w:val="0084703C"/>
    <w:rsid w:val="0088081B"/>
    <w:rsid w:val="008854CF"/>
    <w:rsid w:val="00887B6C"/>
    <w:rsid w:val="00887C3A"/>
    <w:rsid w:val="008A49A2"/>
    <w:rsid w:val="008B17BB"/>
    <w:rsid w:val="008C2B4C"/>
    <w:rsid w:val="008D5C54"/>
    <w:rsid w:val="00981C95"/>
    <w:rsid w:val="00982C43"/>
    <w:rsid w:val="009C1200"/>
    <w:rsid w:val="00A62855"/>
    <w:rsid w:val="00A81EB3"/>
    <w:rsid w:val="00AA01BA"/>
    <w:rsid w:val="00AC0DEF"/>
    <w:rsid w:val="00AF67BE"/>
    <w:rsid w:val="00B22DA5"/>
    <w:rsid w:val="00B40E78"/>
    <w:rsid w:val="00B82455"/>
    <w:rsid w:val="00BA721C"/>
    <w:rsid w:val="00BC16A6"/>
    <w:rsid w:val="00BF30C1"/>
    <w:rsid w:val="00C04449"/>
    <w:rsid w:val="00C0699F"/>
    <w:rsid w:val="00C075A7"/>
    <w:rsid w:val="00C13F9F"/>
    <w:rsid w:val="00C324E9"/>
    <w:rsid w:val="00C403B2"/>
    <w:rsid w:val="00C72FFB"/>
    <w:rsid w:val="00C761E0"/>
    <w:rsid w:val="00CA41E5"/>
    <w:rsid w:val="00CA6F06"/>
    <w:rsid w:val="00CC15D8"/>
    <w:rsid w:val="00CD493C"/>
    <w:rsid w:val="00D06CA1"/>
    <w:rsid w:val="00D61AB5"/>
    <w:rsid w:val="00D778AE"/>
    <w:rsid w:val="00DE6F1D"/>
    <w:rsid w:val="00E001B9"/>
    <w:rsid w:val="00E03D70"/>
    <w:rsid w:val="00E11EBD"/>
    <w:rsid w:val="00E154B3"/>
    <w:rsid w:val="00E36A48"/>
    <w:rsid w:val="00E46F08"/>
    <w:rsid w:val="00EA098E"/>
    <w:rsid w:val="00EA6E4A"/>
    <w:rsid w:val="00ED31AF"/>
    <w:rsid w:val="00EF7457"/>
    <w:rsid w:val="00F02E19"/>
    <w:rsid w:val="00F163FC"/>
    <w:rsid w:val="00F61528"/>
    <w:rsid w:val="00F655B9"/>
    <w:rsid w:val="00F837B6"/>
    <w:rsid w:val="00F85153"/>
    <w:rsid w:val="00F9058F"/>
    <w:rsid w:val="00FD2D19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6195D"/>
  <w15:docId w15:val="{3B344AA8-8090-498C-BC3C-E336F124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134</cp:revision>
  <dcterms:created xsi:type="dcterms:W3CDTF">2019-10-16T10:03:00Z</dcterms:created>
  <dcterms:modified xsi:type="dcterms:W3CDTF">2020-04-27T14:12:00Z</dcterms:modified>
</cp:coreProperties>
</file>